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0FE" w:rsidRPr="001C7CB0" w:rsidRDefault="008740FE" w:rsidP="001C7CB0">
      <w:pPr>
        <w:spacing w:line="320" w:lineRule="atLeast"/>
        <w:outlineLvl w:val="0"/>
        <w:rPr>
          <w:rFonts w:cs="Tahoma"/>
        </w:rPr>
      </w:pPr>
      <w:r w:rsidRPr="001C7CB0">
        <w:rPr>
          <w:rFonts w:cs="Tahoma"/>
        </w:rPr>
        <w:t>Client: Winckworth Sherwood</w:t>
      </w:r>
    </w:p>
    <w:p w:rsidR="008740FE" w:rsidRPr="001C7CB0" w:rsidRDefault="008740FE" w:rsidP="001C7CB0">
      <w:pPr>
        <w:spacing w:line="320" w:lineRule="atLeast"/>
        <w:rPr>
          <w:rFonts w:cs="Tahoma"/>
        </w:rPr>
      </w:pPr>
      <w:r w:rsidRPr="001C7CB0">
        <w:rPr>
          <w:rFonts w:cs="Tahoma"/>
        </w:rPr>
        <w:t xml:space="preserve">Press release – </w:t>
      </w:r>
      <w:r>
        <w:rPr>
          <w:rFonts w:cs="Tahoma"/>
        </w:rPr>
        <w:t>The other end of the housing market report</w:t>
      </w:r>
    </w:p>
    <w:p w:rsidR="008740FE" w:rsidRPr="001C7CB0" w:rsidRDefault="008740FE" w:rsidP="001C7CB0">
      <w:pPr>
        <w:spacing w:line="320" w:lineRule="atLeast"/>
        <w:rPr>
          <w:rFonts w:cs="Tahoma"/>
        </w:rPr>
      </w:pPr>
      <w:r w:rsidRPr="001C7CB0">
        <w:rPr>
          <w:rFonts w:cs="Tahoma"/>
        </w:rPr>
        <w:t xml:space="preserve">Date: </w:t>
      </w:r>
      <w:r>
        <w:rPr>
          <w:rFonts w:cs="Tahoma"/>
        </w:rPr>
        <w:t>March 2017</w:t>
      </w:r>
      <w:r w:rsidRPr="001C7CB0">
        <w:rPr>
          <w:rFonts w:cs="Tahoma"/>
        </w:rPr>
        <w:t xml:space="preserve"> </w:t>
      </w:r>
    </w:p>
    <w:p w:rsidR="008740FE" w:rsidRPr="001C7CB0" w:rsidRDefault="008740FE" w:rsidP="001C7CB0">
      <w:pPr>
        <w:spacing w:line="320" w:lineRule="atLeast"/>
        <w:rPr>
          <w:rFonts w:cs="Tahoma"/>
        </w:rPr>
      </w:pPr>
      <w:r w:rsidRPr="001C7CB0">
        <w:rPr>
          <w:rFonts w:cs="Tahoma"/>
        </w:rPr>
        <w:t>Contact: Matt Baldwin, Coast</w:t>
      </w:r>
    </w:p>
    <w:p w:rsidR="008740FE" w:rsidRPr="001C7CB0" w:rsidRDefault="008740FE" w:rsidP="001C7CB0">
      <w:pPr>
        <w:spacing w:line="320" w:lineRule="atLeast"/>
        <w:rPr>
          <w:rFonts w:cs="Tahoma"/>
        </w:rPr>
      </w:pPr>
      <w:r w:rsidRPr="001C7CB0">
        <w:rPr>
          <w:rFonts w:cs="Tahoma"/>
        </w:rPr>
        <w:t>Tel: 01233 503200</w:t>
      </w:r>
    </w:p>
    <w:p w:rsidR="008740FE" w:rsidRPr="001C7CB0" w:rsidRDefault="008740FE" w:rsidP="001C7CB0">
      <w:pPr>
        <w:spacing w:line="320" w:lineRule="atLeast"/>
        <w:outlineLvl w:val="0"/>
        <w:rPr>
          <w:rFonts w:cs="Tahoma"/>
        </w:rPr>
      </w:pPr>
      <w:r w:rsidRPr="001C7CB0">
        <w:rPr>
          <w:rFonts w:cs="Tahoma"/>
        </w:rPr>
        <w:t xml:space="preserve">Email: </w:t>
      </w:r>
      <w:hyperlink r:id="rId5" w:history="1">
        <w:r w:rsidRPr="001C7CB0">
          <w:rPr>
            <w:rStyle w:val="Hyperlink"/>
            <w:rFonts w:cs="Tahoma"/>
          </w:rPr>
          <w:t>matt@coastcommunications.co.uk</w:t>
        </w:r>
      </w:hyperlink>
      <w:r w:rsidRPr="001C7CB0">
        <w:rPr>
          <w:rFonts w:cs="Tahoma"/>
        </w:rPr>
        <w:t xml:space="preserve"> </w:t>
      </w:r>
    </w:p>
    <w:p w:rsidR="008740FE" w:rsidRDefault="008740FE" w:rsidP="00C253EA">
      <w:pPr>
        <w:rPr>
          <w:rFonts w:cs="Tahoma"/>
        </w:rPr>
      </w:pPr>
    </w:p>
    <w:p w:rsidR="008740FE" w:rsidRPr="00924936" w:rsidRDefault="008740FE" w:rsidP="00C253EA">
      <w:pPr>
        <w:widowControl w:val="0"/>
        <w:autoSpaceDE w:val="0"/>
        <w:autoSpaceDN w:val="0"/>
        <w:adjustRightInd w:val="0"/>
        <w:rPr>
          <w:rFonts w:cs="Tahoma"/>
          <w:color w:val="auto"/>
        </w:rPr>
      </w:pPr>
    </w:p>
    <w:p w:rsidR="008740FE" w:rsidRPr="00924936" w:rsidRDefault="008740FE" w:rsidP="001422BF">
      <w:pPr>
        <w:widowControl w:val="0"/>
        <w:autoSpaceDE w:val="0"/>
        <w:autoSpaceDN w:val="0"/>
        <w:adjustRightInd w:val="0"/>
        <w:spacing w:line="320" w:lineRule="atLeast"/>
        <w:rPr>
          <w:rFonts w:cs="Tahoma"/>
          <w:color w:val="auto"/>
        </w:rPr>
      </w:pPr>
      <w:r w:rsidRPr="00924936">
        <w:rPr>
          <w:rFonts w:cs="Tahoma"/>
          <w:color w:val="auto"/>
        </w:rPr>
        <w:t xml:space="preserve">Press release: </w:t>
      </w:r>
      <w:r>
        <w:rPr>
          <w:rFonts w:cs="Tahoma"/>
          <w:color w:val="auto"/>
        </w:rPr>
        <w:t>13</w:t>
      </w:r>
      <w:bookmarkStart w:id="0" w:name="_GoBack"/>
      <w:bookmarkEnd w:id="0"/>
      <w:r>
        <w:rPr>
          <w:rFonts w:cs="Tahoma"/>
          <w:color w:val="auto"/>
        </w:rPr>
        <w:t xml:space="preserve"> March 2017</w:t>
      </w:r>
    </w:p>
    <w:p w:rsidR="008740FE" w:rsidRPr="00924936" w:rsidRDefault="008740FE" w:rsidP="001422BF">
      <w:pPr>
        <w:widowControl w:val="0"/>
        <w:autoSpaceDE w:val="0"/>
        <w:autoSpaceDN w:val="0"/>
        <w:adjustRightInd w:val="0"/>
        <w:spacing w:line="320" w:lineRule="atLeast"/>
        <w:rPr>
          <w:rFonts w:cs="Tahoma"/>
          <w:color w:val="auto"/>
        </w:rPr>
      </w:pPr>
      <w:r w:rsidRPr="00924936">
        <w:rPr>
          <w:rFonts w:cs="Tahoma"/>
          <w:color w:val="auto"/>
        </w:rPr>
        <w:t> </w:t>
      </w:r>
    </w:p>
    <w:p w:rsidR="008740FE" w:rsidRPr="00924936" w:rsidRDefault="008740FE" w:rsidP="001422BF">
      <w:pPr>
        <w:widowControl w:val="0"/>
        <w:autoSpaceDE w:val="0"/>
        <w:autoSpaceDN w:val="0"/>
        <w:adjustRightInd w:val="0"/>
        <w:spacing w:line="320" w:lineRule="atLeast"/>
        <w:rPr>
          <w:rFonts w:cs="Tahoma"/>
          <w:color w:val="auto"/>
          <w:sz w:val="32"/>
          <w:szCs w:val="32"/>
        </w:rPr>
      </w:pPr>
      <w:r>
        <w:rPr>
          <w:rFonts w:cs="Tahoma"/>
          <w:color w:val="auto"/>
          <w:sz w:val="32"/>
          <w:szCs w:val="32"/>
        </w:rPr>
        <w:t>Later life housing largely ignored and not understood by government, says Winckworth Sherwood survey</w:t>
      </w:r>
    </w:p>
    <w:p w:rsidR="008740FE" w:rsidRPr="00924936" w:rsidRDefault="008740FE" w:rsidP="001422BF">
      <w:pPr>
        <w:widowControl w:val="0"/>
        <w:autoSpaceDE w:val="0"/>
        <w:autoSpaceDN w:val="0"/>
        <w:adjustRightInd w:val="0"/>
        <w:spacing w:line="320" w:lineRule="atLeast"/>
        <w:rPr>
          <w:rFonts w:cs="Tahoma"/>
          <w:color w:val="000000"/>
        </w:rPr>
      </w:pPr>
      <w:r w:rsidRPr="00924936">
        <w:rPr>
          <w:rFonts w:cs="Tahoma"/>
          <w:color w:val="000000"/>
        </w:rPr>
        <w:t> </w:t>
      </w:r>
    </w:p>
    <w:p w:rsidR="008740FE" w:rsidRDefault="008740FE" w:rsidP="00F070E0">
      <w:pPr>
        <w:spacing w:line="320" w:lineRule="atLeast"/>
        <w:rPr>
          <w:rFonts w:cs="Tahoma"/>
          <w:bCs/>
          <w:color w:val="000000"/>
        </w:rPr>
      </w:pPr>
      <w:r>
        <w:rPr>
          <w:rFonts w:cs="Tahoma"/>
          <w:bCs/>
          <w:color w:val="000000"/>
        </w:rPr>
        <w:t>Housing for older people is ignored by government, is failing to provide the choice of tenures and care options and is confusing for buyers, says a new report from law firm Winckworth Sherwood and Housing LIN, a specialist housing network of housing, health and social care providers.</w:t>
      </w:r>
    </w:p>
    <w:p w:rsidR="008740FE" w:rsidRDefault="008740FE" w:rsidP="00F070E0">
      <w:pPr>
        <w:spacing w:line="320" w:lineRule="atLeast"/>
        <w:rPr>
          <w:rFonts w:cs="Tahoma"/>
          <w:bCs/>
          <w:color w:val="000000"/>
        </w:rPr>
      </w:pPr>
    </w:p>
    <w:p w:rsidR="008740FE" w:rsidRDefault="008740FE" w:rsidP="00F070E0">
      <w:pPr>
        <w:spacing w:line="320" w:lineRule="atLeast"/>
        <w:rPr>
          <w:rFonts w:cs="Tahoma"/>
          <w:bCs/>
          <w:color w:val="000000"/>
        </w:rPr>
      </w:pPr>
      <w:r>
        <w:rPr>
          <w:rFonts w:cs="Tahoma"/>
          <w:bCs/>
          <w:color w:val="000000"/>
        </w:rPr>
        <w:t xml:space="preserve">Published today (Monday 13 March), the report – </w:t>
      </w:r>
      <w:r w:rsidRPr="003536FF">
        <w:rPr>
          <w:rFonts w:cs="Tahoma"/>
          <w:bCs/>
          <w:i/>
          <w:color w:val="000000"/>
        </w:rPr>
        <w:t xml:space="preserve">The other end of the housing market: </w:t>
      </w:r>
      <w:r>
        <w:rPr>
          <w:rFonts w:cs="Tahoma"/>
          <w:bCs/>
          <w:i/>
          <w:color w:val="000000"/>
        </w:rPr>
        <w:t>H</w:t>
      </w:r>
      <w:r w:rsidRPr="003536FF">
        <w:rPr>
          <w:rFonts w:cs="Tahoma"/>
          <w:bCs/>
          <w:i/>
          <w:color w:val="000000"/>
        </w:rPr>
        <w:t>ousing for older people</w:t>
      </w:r>
      <w:r>
        <w:rPr>
          <w:rFonts w:cs="Tahoma"/>
          <w:bCs/>
          <w:color w:val="000000"/>
        </w:rPr>
        <w:t xml:space="preserve"> - also notes a marked rise in the number of private developers moving into this market and fears over high service charges holding back decisions to move.</w:t>
      </w:r>
    </w:p>
    <w:p w:rsidR="008740FE" w:rsidRDefault="008740FE" w:rsidP="00F070E0">
      <w:pPr>
        <w:spacing w:line="320" w:lineRule="atLeast"/>
        <w:rPr>
          <w:rFonts w:cs="Tahoma"/>
          <w:bCs/>
          <w:color w:val="000000"/>
        </w:rPr>
      </w:pPr>
    </w:p>
    <w:p w:rsidR="008740FE" w:rsidRDefault="008740FE" w:rsidP="00F070E0">
      <w:pPr>
        <w:spacing w:line="320" w:lineRule="atLeast"/>
        <w:rPr>
          <w:rFonts w:cs="Tahoma"/>
          <w:bCs/>
          <w:color w:val="000000"/>
        </w:rPr>
      </w:pPr>
      <w:r>
        <w:rPr>
          <w:rFonts w:cs="Tahoma"/>
          <w:bCs/>
          <w:color w:val="000000"/>
        </w:rPr>
        <w:t>Charlotte Cook, a Partner specialising in later life housing at Winckworth Sherwood said: “An individual’s final home should be the pinnacle of their housing journey and not one of compromise.  All too often that is not the case.</w:t>
      </w:r>
    </w:p>
    <w:p w:rsidR="008740FE" w:rsidRDefault="008740FE" w:rsidP="00F070E0">
      <w:pPr>
        <w:spacing w:line="320" w:lineRule="atLeast"/>
        <w:rPr>
          <w:rFonts w:cs="Tahoma"/>
          <w:bCs/>
          <w:color w:val="000000"/>
        </w:rPr>
      </w:pPr>
    </w:p>
    <w:p w:rsidR="008740FE" w:rsidRDefault="008740FE" w:rsidP="00F070E0">
      <w:pPr>
        <w:spacing w:line="320" w:lineRule="atLeast"/>
        <w:rPr>
          <w:rFonts w:cs="Tahoma"/>
          <w:bCs/>
          <w:color w:val="000000"/>
        </w:rPr>
      </w:pPr>
      <w:r>
        <w:rPr>
          <w:rFonts w:cs="Tahoma"/>
          <w:bCs/>
          <w:color w:val="000000"/>
        </w:rPr>
        <w:t>“Our survey shows that whilst local authorities and private developers are responding in some interesting and innovative ways, almost all feel that the Government has overlooked this important and expanding housing market in favour of headline grabbing initiatives aimed at first time buyers.  Yet in 2017 more people will turn 70 than ever before.”</w:t>
      </w:r>
    </w:p>
    <w:p w:rsidR="008740FE" w:rsidRDefault="008740FE" w:rsidP="00F070E0">
      <w:pPr>
        <w:spacing w:line="320" w:lineRule="atLeast"/>
        <w:rPr>
          <w:rFonts w:cs="Tahoma"/>
          <w:bCs/>
          <w:color w:val="000000"/>
        </w:rPr>
      </w:pPr>
    </w:p>
    <w:p w:rsidR="008740FE" w:rsidRDefault="008740FE" w:rsidP="00282D85">
      <w:pPr>
        <w:spacing w:line="320" w:lineRule="atLeast"/>
        <w:rPr>
          <w:rFonts w:cs="Tahoma"/>
          <w:bCs/>
          <w:color w:val="000000"/>
        </w:rPr>
      </w:pPr>
      <w:r w:rsidRPr="008765BC">
        <w:rPr>
          <w:rFonts w:cs="Tahoma"/>
          <w:bCs/>
          <w:color w:val="000000"/>
        </w:rPr>
        <w:t>Survey highlights:</w:t>
      </w:r>
    </w:p>
    <w:p w:rsidR="008740FE" w:rsidRPr="008765BC" w:rsidRDefault="008740FE" w:rsidP="00282D85">
      <w:pPr>
        <w:pStyle w:val="ListParagraph"/>
        <w:numPr>
          <w:ilvl w:val="0"/>
          <w:numId w:val="19"/>
        </w:numPr>
        <w:spacing w:line="320" w:lineRule="atLeast"/>
        <w:rPr>
          <w:rFonts w:cs="Tahoma"/>
          <w:bCs/>
          <w:color w:val="000000"/>
        </w:rPr>
      </w:pPr>
      <w:r w:rsidRPr="008765BC">
        <w:rPr>
          <w:rFonts w:cs="Tahoma"/>
          <w:bCs/>
          <w:color w:val="000000"/>
        </w:rPr>
        <w:t xml:space="preserve">80% of those surveyed believe the Government’s apparent focus is unfairly skewed towards first time buyers </w:t>
      </w:r>
    </w:p>
    <w:p w:rsidR="008740FE" w:rsidRPr="008765BC" w:rsidRDefault="008740FE" w:rsidP="00282D85">
      <w:pPr>
        <w:pStyle w:val="ListParagraph"/>
        <w:numPr>
          <w:ilvl w:val="0"/>
          <w:numId w:val="19"/>
        </w:numPr>
        <w:spacing w:line="320" w:lineRule="atLeast"/>
        <w:rPr>
          <w:rFonts w:cs="Tahoma"/>
          <w:bCs/>
          <w:color w:val="000000"/>
        </w:rPr>
      </w:pPr>
      <w:r w:rsidRPr="008765BC">
        <w:rPr>
          <w:rFonts w:cs="Tahoma"/>
          <w:bCs/>
          <w:color w:val="000000"/>
        </w:rPr>
        <w:t xml:space="preserve">70% welcome the </w:t>
      </w:r>
      <w:r>
        <w:rPr>
          <w:rFonts w:cs="Tahoma"/>
          <w:bCs/>
          <w:color w:val="000000"/>
        </w:rPr>
        <w:t>entry</w:t>
      </w:r>
      <w:r w:rsidRPr="008765BC">
        <w:rPr>
          <w:rFonts w:cs="Tahoma"/>
          <w:bCs/>
          <w:color w:val="000000"/>
        </w:rPr>
        <w:t xml:space="preserve"> of private developers </w:t>
      </w:r>
    </w:p>
    <w:p w:rsidR="008740FE" w:rsidRPr="008765BC" w:rsidRDefault="008740FE" w:rsidP="00282D85">
      <w:pPr>
        <w:pStyle w:val="ListParagraph"/>
        <w:numPr>
          <w:ilvl w:val="0"/>
          <w:numId w:val="19"/>
        </w:numPr>
        <w:spacing w:line="320" w:lineRule="atLeast"/>
        <w:rPr>
          <w:rFonts w:cs="Tahoma"/>
          <w:bCs/>
          <w:color w:val="000000"/>
        </w:rPr>
      </w:pPr>
      <w:r w:rsidRPr="008765BC">
        <w:rPr>
          <w:rFonts w:cs="Tahoma"/>
          <w:bCs/>
          <w:color w:val="000000"/>
        </w:rPr>
        <w:t>Location, availability and affordability are the key drivers behind the decision to move</w:t>
      </w:r>
    </w:p>
    <w:p w:rsidR="008740FE" w:rsidRPr="008765BC" w:rsidRDefault="008740FE" w:rsidP="00282D85">
      <w:pPr>
        <w:pStyle w:val="ListParagraph"/>
        <w:numPr>
          <w:ilvl w:val="0"/>
          <w:numId w:val="19"/>
        </w:numPr>
        <w:spacing w:line="320" w:lineRule="atLeast"/>
        <w:rPr>
          <w:rFonts w:cs="Tahoma"/>
          <w:bCs/>
          <w:color w:val="000000"/>
        </w:rPr>
      </w:pPr>
      <w:r w:rsidRPr="008765BC">
        <w:rPr>
          <w:rFonts w:cs="Tahoma"/>
          <w:bCs/>
          <w:color w:val="000000"/>
        </w:rPr>
        <w:t xml:space="preserve">High and uncertainty surrounding service charges hold back decisions to move </w:t>
      </w:r>
    </w:p>
    <w:p w:rsidR="008740FE" w:rsidRDefault="008740FE" w:rsidP="00282D85">
      <w:pPr>
        <w:pStyle w:val="ListParagraph"/>
        <w:numPr>
          <w:ilvl w:val="0"/>
          <w:numId w:val="19"/>
        </w:numPr>
        <w:spacing w:line="320" w:lineRule="atLeast"/>
        <w:rPr>
          <w:rFonts w:cs="Tahoma"/>
          <w:bCs/>
          <w:color w:val="000000"/>
        </w:rPr>
      </w:pPr>
      <w:r w:rsidRPr="008765BC">
        <w:rPr>
          <w:rFonts w:cs="Tahoma"/>
          <w:bCs/>
          <w:color w:val="000000"/>
        </w:rPr>
        <w:t xml:space="preserve">48% believe we need to develop more extra care and supported housing schemes </w:t>
      </w:r>
    </w:p>
    <w:p w:rsidR="008740FE" w:rsidRDefault="008740FE" w:rsidP="00282D85">
      <w:pPr>
        <w:pStyle w:val="ListParagraph"/>
        <w:numPr>
          <w:ilvl w:val="0"/>
          <w:numId w:val="19"/>
        </w:numPr>
        <w:spacing w:line="320" w:lineRule="atLeast"/>
        <w:rPr>
          <w:rFonts w:cs="Tahoma"/>
          <w:bCs/>
          <w:color w:val="000000"/>
        </w:rPr>
      </w:pPr>
      <w:r>
        <w:rPr>
          <w:rFonts w:cs="Tahoma"/>
          <w:bCs/>
          <w:color w:val="000000"/>
        </w:rPr>
        <w:t>45% believe local authority adult social care services should address housing need</w:t>
      </w:r>
    </w:p>
    <w:p w:rsidR="008740FE" w:rsidRPr="008765BC" w:rsidRDefault="008740FE" w:rsidP="00282D85">
      <w:pPr>
        <w:pStyle w:val="ListParagraph"/>
        <w:numPr>
          <w:ilvl w:val="0"/>
          <w:numId w:val="19"/>
        </w:numPr>
        <w:spacing w:line="320" w:lineRule="atLeast"/>
        <w:rPr>
          <w:rFonts w:cs="Tahoma"/>
          <w:bCs/>
          <w:color w:val="000000"/>
        </w:rPr>
      </w:pPr>
      <w:r>
        <w:rPr>
          <w:rFonts w:cs="Tahoma"/>
          <w:bCs/>
          <w:color w:val="000000"/>
        </w:rPr>
        <w:t>46% believe housing should be an enforceable human right</w:t>
      </w:r>
    </w:p>
    <w:p w:rsidR="008740FE" w:rsidRDefault="008740FE" w:rsidP="00F070E0">
      <w:pPr>
        <w:spacing w:line="320" w:lineRule="atLeast"/>
        <w:rPr>
          <w:rFonts w:cs="Tahoma"/>
          <w:bCs/>
          <w:color w:val="000000"/>
        </w:rPr>
      </w:pPr>
    </w:p>
    <w:p w:rsidR="008740FE" w:rsidRDefault="008740FE" w:rsidP="00F070E0">
      <w:pPr>
        <w:spacing w:line="320" w:lineRule="atLeast"/>
        <w:rPr>
          <w:rFonts w:cs="Tahoma"/>
          <w:bCs/>
          <w:color w:val="000000"/>
        </w:rPr>
      </w:pPr>
      <w:r>
        <w:rPr>
          <w:rFonts w:cs="Tahoma"/>
          <w:bCs/>
          <w:color w:val="000000"/>
        </w:rPr>
        <w:t xml:space="preserve">The report also highlights that whilst the top and the bottom ends of the market are well catered for by private providers and local authorities, they account for just 20% of the market.  The remaining 80% - the squeezed middle – face uncertainty and difficult decisions.  </w:t>
      </w:r>
    </w:p>
    <w:p w:rsidR="008740FE" w:rsidRDefault="008740FE" w:rsidP="00F070E0">
      <w:pPr>
        <w:spacing w:line="320" w:lineRule="atLeast"/>
        <w:rPr>
          <w:rFonts w:cs="Tahoma"/>
          <w:bCs/>
          <w:color w:val="000000"/>
        </w:rPr>
      </w:pPr>
    </w:p>
    <w:p w:rsidR="008740FE" w:rsidRDefault="008740FE" w:rsidP="00F070E0">
      <w:pPr>
        <w:spacing w:line="320" w:lineRule="atLeast"/>
        <w:rPr>
          <w:rFonts w:cs="Tahoma"/>
          <w:bCs/>
          <w:color w:val="000000"/>
        </w:rPr>
      </w:pPr>
      <w:r>
        <w:rPr>
          <w:rFonts w:cs="Tahoma"/>
          <w:bCs/>
          <w:color w:val="000000"/>
        </w:rPr>
        <w:t xml:space="preserve">Jeremy Porteus, Managing Director at Housing LIN said: “People aged over 65 are involved in some 40% of all housing moves.  The Government and our industry need a long term strategy that addresses the expectations and the care and support needs of all involved that reflects the scale of this market and to introduce measures that give older people confidence about the decisions they must take.” </w:t>
      </w:r>
    </w:p>
    <w:p w:rsidR="008740FE" w:rsidRDefault="008740FE" w:rsidP="00B60DC8">
      <w:pPr>
        <w:spacing w:line="320" w:lineRule="atLeast"/>
        <w:rPr>
          <w:rFonts w:eastAsia="Times New Roman" w:cs="Tahoma"/>
          <w:color w:val="000000"/>
          <w:lang w:val="en-GB" w:eastAsia="en-GB"/>
        </w:rPr>
      </w:pPr>
    </w:p>
    <w:p w:rsidR="008740FE" w:rsidRDefault="008740FE" w:rsidP="00B60DC8">
      <w:pPr>
        <w:spacing w:line="320" w:lineRule="atLeast"/>
        <w:rPr>
          <w:rFonts w:eastAsia="Times New Roman" w:cs="Tahoma"/>
          <w:color w:val="000000"/>
          <w:lang w:val="en-GB" w:eastAsia="en-GB"/>
        </w:rPr>
      </w:pPr>
      <w:r w:rsidRPr="003536FF">
        <w:rPr>
          <w:rFonts w:cs="Tahoma"/>
          <w:bCs/>
          <w:i/>
          <w:color w:val="000000"/>
        </w:rPr>
        <w:t xml:space="preserve">The other end of the housing market: </w:t>
      </w:r>
      <w:r>
        <w:rPr>
          <w:rFonts w:cs="Tahoma"/>
          <w:bCs/>
          <w:i/>
          <w:color w:val="000000"/>
        </w:rPr>
        <w:t>H</w:t>
      </w:r>
      <w:r w:rsidRPr="003536FF">
        <w:rPr>
          <w:rFonts w:cs="Tahoma"/>
          <w:bCs/>
          <w:i/>
          <w:color w:val="000000"/>
        </w:rPr>
        <w:t>ousing for older people</w:t>
      </w:r>
      <w:r>
        <w:rPr>
          <w:rFonts w:cs="Tahoma"/>
          <w:bCs/>
          <w:color w:val="000000"/>
        </w:rPr>
        <w:t xml:space="preserve"> </w:t>
      </w:r>
      <w:r>
        <w:rPr>
          <w:rFonts w:eastAsia="Times New Roman" w:cs="Tahoma"/>
          <w:color w:val="000000"/>
          <w:lang w:val="en-GB" w:eastAsia="en-GB"/>
        </w:rPr>
        <w:t>includes detailed interviews with Catalyst Housing, One Housing and Swindon Borough Council who share how they are responding to increased demand, the benefits cap and restricted local authority budgets.</w:t>
      </w:r>
    </w:p>
    <w:p w:rsidR="008740FE" w:rsidRDefault="008740FE" w:rsidP="00B60DC8">
      <w:pPr>
        <w:spacing w:line="320" w:lineRule="atLeast"/>
        <w:rPr>
          <w:rFonts w:eastAsia="Times New Roman" w:cs="Tahoma"/>
          <w:color w:val="000000"/>
          <w:lang w:val="en-GB" w:eastAsia="en-GB"/>
        </w:rPr>
      </w:pPr>
    </w:p>
    <w:p w:rsidR="008740FE" w:rsidRDefault="008740FE" w:rsidP="00A27AF4">
      <w:pPr>
        <w:spacing w:line="320" w:lineRule="atLeast"/>
        <w:rPr>
          <w:rFonts w:cs="Tahoma"/>
          <w:bCs/>
          <w:color w:val="000000"/>
        </w:rPr>
      </w:pPr>
      <w:r w:rsidRPr="003536FF">
        <w:rPr>
          <w:rFonts w:cs="Tahoma"/>
          <w:bCs/>
          <w:i/>
          <w:color w:val="000000"/>
        </w:rPr>
        <w:t xml:space="preserve">The other end of the housing market: </w:t>
      </w:r>
      <w:r>
        <w:rPr>
          <w:rFonts w:cs="Tahoma"/>
          <w:bCs/>
          <w:i/>
          <w:color w:val="000000"/>
        </w:rPr>
        <w:t>H</w:t>
      </w:r>
      <w:r w:rsidRPr="003536FF">
        <w:rPr>
          <w:rFonts w:cs="Tahoma"/>
          <w:bCs/>
          <w:i/>
          <w:color w:val="000000"/>
        </w:rPr>
        <w:t>ousing for older people</w:t>
      </w:r>
      <w:r>
        <w:rPr>
          <w:rFonts w:cs="Tahoma"/>
          <w:bCs/>
          <w:color w:val="000000"/>
        </w:rPr>
        <w:t xml:space="preserve"> surveyed over 100 housing providers, local authorities and health and social care professionals and was conducted by Winckworth Sherwood and Housing LIN in December 2016 and January 2017.</w:t>
      </w:r>
    </w:p>
    <w:p w:rsidR="008740FE" w:rsidRDefault="008740FE" w:rsidP="00B60DC8">
      <w:pPr>
        <w:spacing w:line="320" w:lineRule="atLeast"/>
        <w:rPr>
          <w:rFonts w:eastAsia="Times New Roman" w:cs="Tahoma"/>
          <w:color w:val="000000"/>
          <w:lang w:val="en-GB" w:eastAsia="en-GB"/>
        </w:rPr>
      </w:pPr>
    </w:p>
    <w:p w:rsidR="008740FE" w:rsidRDefault="008740FE" w:rsidP="00B60DC8">
      <w:pPr>
        <w:spacing w:line="320" w:lineRule="atLeast"/>
        <w:rPr>
          <w:rFonts w:cs="Tahoma"/>
          <w:bCs/>
          <w:color w:val="000000"/>
        </w:rPr>
      </w:pPr>
      <w:r>
        <w:rPr>
          <w:rFonts w:eastAsia="Times New Roman" w:cs="Tahoma"/>
          <w:color w:val="000000"/>
          <w:lang w:val="en-GB" w:eastAsia="en-GB"/>
        </w:rPr>
        <w:t xml:space="preserve">A copy of </w:t>
      </w:r>
      <w:r w:rsidRPr="003536FF">
        <w:rPr>
          <w:rFonts w:cs="Tahoma"/>
          <w:bCs/>
          <w:i/>
          <w:color w:val="000000"/>
        </w:rPr>
        <w:t xml:space="preserve">The other end of the housing market: </w:t>
      </w:r>
      <w:r>
        <w:rPr>
          <w:rFonts w:cs="Tahoma"/>
          <w:bCs/>
          <w:i/>
          <w:color w:val="000000"/>
        </w:rPr>
        <w:t>H</w:t>
      </w:r>
      <w:r w:rsidRPr="003536FF">
        <w:rPr>
          <w:rFonts w:cs="Tahoma"/>
          <w:bCs/>
          <w:i/>
          <w:color w:val="000000"/>
        </w:rPr>
        <w:t>ousing for older people</w:t>
      </w:r>
      <w:r>
        <w:rPr>
          <w:rFonts w:cs="Tahoma"/>
          <w:bCs/>
          <w:i/>
          <w:color w:val="000000"/>
        </w:rPr>
        <w:t xml:space="preserve"> </w:t>
      </w:r>
      <w:r>
        <w:rPr>
          <w:rFonts w:cs="Tahoma"/>
          <w:bCs/>
          <w:color w:val="000000"/>
        </w:rPr>
        <w:t>is available on request</w:t>
      </w:r>
      <w:r w:rsidRPr="00C00977">
        <w:rPr>
          <w:rFonts w:cs="Tahoma"/>
          <w:bCs/>
          <w:color w:val="000000"/>
        </w:rPr>
        <w:t>.</w:t>
      </w:r>
    </w:p>
    <w:p w:rsidR="008740FE" w:rsidRPr="00B60DC8" w:rsidRDefault="008740FE" w:rsidP="00C00977">
      <w:pPr>
        <w:tabs>
          <w:tab w:val="left" w:pos="7362"/>
        </w:tabs>
        <w:spacing w:line="320" w:lineRule="atLeast"/>
        <w:rPr>
          <w:rFonts w:eastAsia="Times New Roman" w:cs="Tahoma"/>
          <w:color w:val="000000"/>
          <w:lang w:val="en-GB" w:eastAsia="en-GB"/>
        </w:rPr>
      </w:pPr>
      <w:r w:rsidRPr="00C00977">
        <w:rPr>
          <w:rFonts w:eastAsia="Times New Roman" w:cs="Tahoma"/>
          <w:color w:val="000000"/>
          <w:lang w:val="en-GB" w:eastAsia="en-GB"/>
        </w:rPr>
        <w:tab/>
      </w:r>
    </w:p>
    <w:p w:rsidR="008740FE" w:rsidRPr="00FA6689" w:rsidRDefault="008740FE" w:rsidP="001422BF">
      <w:pPr>
        <w:spacing w:line="320" w:lineRule="atLeast"/>
        <w:rPr>
          <w:rFonts w:cs="Tahoma"/>
        </w:rPr>
      </w:pPr>
      <w:r w:rsidRPr="00FA6689">
        <w:rPr>
          <w:rFonts w:cs="Tahoma"/>
          <w:b/>
          <w:bCs/>
        </w:rPr>
        <w:t>##ends##</w:t>
      </w:r>
    </w:p>
    <w:p w:rsidR="008740FE" w:rsidRPr="0051138A" w:rsidRDefault="008740FE" w:rsidP="001422BF">
      <w:pPr>
        <w:spacing w:line="320" w:lineRule="atLeast"/>
        <w:rPr>
          <w:rFonts w:cs="Tahoma"/>
        </w:rPr>
      </w:pPr>
    </w:p>
    <w:p w:rsidR="008740FE" w:rsidRPr="0051138A" w:rsidRDefault="008740FE" w:rsidP="001422BF">
      <w:pPr>
        <w:spacing w:line="320" w:lineRule="atLeast"/>
        <w:rPr>
          <w:rFonts w:eastAsia="Times New Roman" w:cs="Tahoma"/>
          <w:color w:val="000000"/>
          <w:lang w:val="en-GB" w:eastAsia="en-GB"/>
        </w:rPr>
      </w:pPr>
      <w:r w:rsidRPr="0051138A">
        <w:rPr>
          <w:rFonts w:cs="Tahoma"/>
          <w:b/>
          <w:bCs/>
        </w:rPr>
        <w:t>Winckworth Sherwood</w:t>
      </w:r>
      <w:r w:rsidRPr="0051138A">
        <w:rPr>
          <w:rFonts w:eastAsia="Times New Roman" w:cs="Tahoma"/>
          <w:b/>
          <w:bCs/>
          <w:color w:val="auto"/>
          <w:lang w:val="en-GB" w:eastAsia="en-GB"/>
        </w:rPr>
        <w:t xml:space="preserve"> </w:t>
      </w:r>
      <w:r w:rsidRPr="0051138A">
        <w:rPr>
          <w:rFonts w:eastAsia="Times New Roman" w:cs="Tahoma"/>
          <w:color w:val="auto"/>
          <w:lang w:val="en-GB" w:eastAsia="en-GB"/>
        </w:rPr>
        <w:t xml:space="preserve">is a dynamic law firm committed to providing its clients with market leading advice that helps them achieve their objectives. The main practice areas and sectors of the firm include Commercial and Corporate, Dispute Resolution, Real Estate, Employment, Family and Private Client, Education, Ecclesiastical, Parliamentary, Social Housing and Transport. </w:t>
      </w:r>
    </w:p>
    <w:p w:rsidR="008740FE" w:rsidRPr="0051138A" w:rsidRDefault="008740FE" w:rsidP="001422BF">
      <w:pPr>
        <w:spacing w:line="320" w:lineRule="atLeast"/>
        <w:rPr>
          <w:rFonts w:cs="Tahoma"/>
        </w:rPr>
      </w:pPr>
    </w:p>
    <w:p w:rsidR="008740FE" w:rsidRPr="0051138A" w:rsidRDefault="008740FE" w:rsidP="001422BF">
      <w:pPr>
        <w:spacing w:line="320" w:lineRule="atLeast"/>
        <w:outlineLvl w:val="0"/>
        <w:rPr>
          <w:rFonts w:cs="Tahoma"/>
        </w:rPr>
      </w:pPr>
      <w:r w:rsidRPr="0051138A">
        <w:rPr>
          <w:rFonts w:cs="Tahoma"/>
          <w:b/>
          <w:bCs/>
        </w:rPr>
        <w:t>Contact</w:t>
      </w:r>
    </w:p>
    <w:p w:rsidR="008740FE" w:rsidRPr="0051138A" w:rsidRDefault="008740FE" w:rsidP="001422BF">
      <w:pPr>
        <w:spacing w:line="320" w:lineRule="atLeast"/>
        <w:outlineLvl w:val="0"/>
        <w:rPr>
          <w:rFonts w:cs="Tahoma"/>
        </w:rPr>
      </w:pPr>
      <w:r w:rsidRPr="0051138A">
        <w:rPr>
          <w:rFonts w:cs="Tahoma"/>
        </w:rPr>
        <w:t>Matt Baldwin, Coast</w:t>
      </w:r>
    </w:p>
    <w:p w:rsidR="008740FE" w:rsidRPr="0051138A" w:rsidRDefault="008740FE" w:rsidP="001422BF">
      <w:pPr>
        <w:spacing w:line="320" w:lineRule="atLeast"/>
        <w:rPr>
          <w:rFonts w:cs="Tahoma"/>
        </w:rPr>
      </w:pPr>
      <w:r w:rsidRPr="0051138A">
        <w:rPr>
          <w:rFonts w:cs="Tahoma"/>
        </w:rPr>
        <w:t>Tel: 01233 503200 / 07930 439739</w:t>
      </w:r>
    </w:p>
    <w:p w:rsidR="008740FE" w:rsidRPr="0051138A" w:rsidRDefault="008740FE" w:rsidP="001422BF">
      <w:pPr>
        <w:spacing w:line="320" w:lineRule="atLeast"/>
        <w:outlineLvl w:val="0"/>
        <w:rPr>
          <w:rFonts w:cs="Tahoma"/>
        </w:rPr>
      </w:pPr>
      <w:r w:rsidRPr="0051138A">
        <w:rPr>
          <w:rFonts w:cs="Tahoma"/>
        </w:rPr>
        <w:t xml:space="preserve">Email: </w:t>
      </w:r>
      <w:hyperlink r:id="rId6" w:history="1">
        <w:r w:rsidRPr="0051138A">
          <w:rPr>
            <w:rStyle w:val="Hyperlink"/>
            <w:rFonts w:cs="Tahoma"/>
          </w:rPr>
          <w:t>matt@coastcommunications.co.uk</w:t>
        </w:r>
      </w:hyperlink>
    </w:p>
    <w:p w:rsidR="008740FE" w:rsidRPr="0051138A" w:rsidRDefault="008740FE" w:rsidP="001422BF">
      <w:pPr>
        <w:spacing w:line="320" w:lineRule="atLeast"/>
        <w:rPr>
          <w:rFonts w:cs="Tahoma"/>
        </w:rPr>
      </w:pPr>
    </w:p>
    <w:p w:rsidR="008740FE" w:rsidRDefault="008740FE" w:rsidP="001422BF">
      <w:pPr>
        <w:spacing w:line="320" w:lineRule="atLeast"/>
        <w:outlineLvl w:val="0"/>
        <w:rPr>
          <w:rFonts w:cs="Tahoma"/>
        </w:rPr>
      </w:pPr>
      <w:r>
        <w:rPr>
          <w:rFonts w:cs="Tahoma"/>
        </w:rPr>
        <w:t xml:space="preserve">Adam Seymour, Director of Business Development and Marketing </w:t>
      </w:r>
    </w:p>
    <w:p w:rsidR="008740FE" w:rsidRDefault="008740FE" w:rsidP="001422BF">
      <w:pPr>
        <w:spacing w:line="320" w:lineRule="atLeast"/>
        <w:outlineLvl w:val="0"/>
        <w:rPr>
          <w:rFonts w:cs="Tahoma"/>
        </w:rPr>
      </w:pPr>
      <w:r>
        <w:rPr>
          <w:rFonts w:cs="Tahoma"/>
        </w:rPr>
        <w:t xml:space="preserve">Wickworth Sherwood </w:t>
      </w:r>
    </w:p>
    <w:p w:rsidR="008740FE" w:rsidRDefault="008740FE" w:rsidP="001422BF">
      <w:pPr>
        <w:spacing w:line="320" w:lineRule="atLeast"/>
        <w:outlineLvl w:val="0"/>
        <w:rPr>
          <w:rFonts w:cs="Tahoma"/>
        </w:rPr>
      </w:pPr>
      <w:r>
        <w:rPr>
          <w:rFonts w:cs="Tahoma"/>
        </w:rPr>
        <w:t>Tel: 020 7593 0385</w:t>
      </w:r>
    </w:p>
    <w:p w:rsidR="008740FE" w:rsidRPr="0051138A" w:rsidRDefault="008740FE" w:rsidP="001422BF">
      <w:pPr>
        <w:spacing w:line="320" w:lineRule="atLeast"/>
        <w:outlineLvl w:val="0"/>
        <w:rPr>
          <w:rFonts w:cs="Tahoma"/>
        </w:rPr>
      </w:pPr>
      <w:r>
        <w:rPr>
          <w:rFonts w:cs="Tahoma"/>
        </w:rPr>
        <w:t xml:space="preserve">Email: </w:t>
      </w:r>
      <w:hyperlink r:id="rId7" w:history="1">
        <w:r w:rsidRPr="00E519AD">
          <w:rPr>
            <w:rStyle w:val="Hyperlink"/>
            <w:rFonts w:cs="Tahoma"/>
          </w:rPr>
          <w:t>aseymour@wslaw.co.uk</w:t>
        </w:r>
      </w:hyperlink>
      <w:r>
        <w:rPr>
          <w:rFonts w:cs="Tahoma"/>
        </w:rPr>
        <w:t xml:space="preserve"> </w:t>
      </w:r>
    </w:p>
    <w:p w:rsidR="008740FE" w:rsidRPr="0051138A" w:rsidRDefault="008740FE" w:rsidP="001422BF">
      <w:pPr>
        <w:widowControl w:val="0"/>
        <w:autoSpaceDE w:val="0"/>
        <w:autoSpaceDN w:val="0"/>
        <w:adjustRightInd w:val="0"/>
        <w:spacing w:line="320" w:lineRule="atLeast"/>
        <w:rPr>
          <w:rFonts w:cs="Tahoma"/>
        </w:rPr>
      </w:pPr>
    </w:p>
    <w:sectPr w:rsidR="008740FE" w:rsidRPr="0051138A" w:rsidSect="00736563">
      <w:pgSz w:w="11900" w:h="16840"/>
      <w:pgMar w:top="1418" w:right="1134" w:bottom="141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ngs">
    <w:altName w:val="MS Mincho"/>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Lucida Grande">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771463"/>
    <w:multiLevelType w:val="hybridMultilevel"/>
    <w:tmpl w:val="90209E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6D83CFB"/>
    <w:multiLevelType w:val="multilevel"/>
    <w:tmpl w:val="384E7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995956"/>
    <w:multiLevelType w:val="hybridMultilevel"/>
    <w:tmpl w:val="1AE29B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4676E7D"/>
    <w:multiLevelType w:val="hybridMultilevel"/>
    <w:tmpl w:val="E15E9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090818"/>
    <w:multiLevelType w:val="hybridMultilevel"/>
    <w:tmpl w:val="6632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3EE2BEC"/>
    <w:multiLevelType w:val="hybridMultilevel"/>
    <w:tmpl w:val="7CE876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6E60DEF"/>
    <w:multiLevelType w:val="hybridMultilevel"/>
    <w:tmpl w:val="893EAB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2E436ACC"/>
    <w:multiLevelType w:val="hybridMultilevel"/>
    <w:tmpl w:val="B36CB8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47414EE"/>
    <w:multiLevelType w:val="hybridMultilevel"/>
    <w:tmpl w:val="339446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EF8743C"/>
    <w:multiLevelType w:val="multilevel"/>
    <w:tmpl w:val="FEEAE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3413306"/>
    <w:multiLevelType w:val="hybridMultilevel"/>
    <w:tmpl w:val="3938A0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4AB6C53"/>
    <w:multiLevelType w:val="hybridMultilevel"/>
    <w:tmpl w:val="013A90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59183DBF"/>
    <w:multiLevelType w:val="multilevel"/>
    <w:tmpl w:val="046CE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A0D604B"/>
    <w:multiLevelType w:val="hybridMultilevel"/>
    <w:tmpl w:val="DEAAAA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B4374D6"/>
    <w:multiLevelType w:val="multilevel"/>
    <w:tmpl w:val="21921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F562B4E"/>
    <w:multiLevelType w:val="hybridMultilevel"/>
    <w:tmpl w:val="28F24176"/>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7">
    <w:nsid w:val="74DF603D"/>
    <w:multiLevelType w:val="hybridMultilevel"/>
    <w:tmpl w:val="A5DC7B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7E7475A7"/>
    <w:multiLevelType w:val="hybridMultilevel"/>
    <w:tmpl w:val="359E46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6"/>
  </w:num>
  <w:num w:numId="2">
    <w:abstractNumId w:val="9"/>
  </w:num>
  <w:num w:numId="3">
    <w:abstractNumId w:val="3"/>
  </w:num>
  <w:num w:numId="4">
    <w:abstractNumId w:val="11"/>
  </w:num>
  <w:num w:numId="5">
    <w:abstractNumId w:val="0"/>
  </w:num>
  <w:num w:numId="6">
    <w:abstractNumId w:val="8"/>
  </w:num>
  <w:num w:numId="7">
    <w:abstractNumId w:val="4"/>
  </w:num>
  <w:num w:numId="8">
    <w:abstractNumId w:val="6"/>
  </w:num>
  <w:num w:numId="9">
    <w:abstractNumId w:val="14"/>
  </w:num>
  <w:num w:numId="10">
    <w:abstractNumId w:val="18"/>
  </w:num>
  <w:num w:numId="11">
    <w:abstractNumId w:val="12"/>
  </w:num>
  <w:num w:numId="12">
    <w:abstractNumId w:val="1"/>
  </w:num>
  <w:num w:numId="13">
    <w:abstractNumId w:val="10"/>
  </w:num>
  <w:num w:numId="14">
    <w:abstractNumId w:val="15"/>
  </w:num>
  <w:num w:numId="15">
    <w:abstractNumId w:val="2"/>
  </w:num>
  <w:num w:numId="16">
    <w:abstractNumId w:val="7"/>
  </w:num>
  <w:num w:numId="17">
    <w:abstractNumId w:val="13"/>
  </w:num>
  <w:num w:numId="18">
    <w:abstractNumId w:val="5"/>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0DF1"/>
    <w:rsid w:val="00002179"/>
    <w:rsid w:val="0001116E"/>
    <w:rsid w:val="000173F0"/>
    <w:rsid w:val="00020D4E"/>
    <w:rsid w:val="0002131D"/>
    <w:rsid w:val="00021C43"/>
    <w:rsid w:val="00026CEB"/>
    <w:rsid w:val="0003091D"/>
    <w:rsid w:val="0005305A"/>
    <w:rsid w:val="00056D07"/>
    <w:rsid w:val="000579D1"/>
    <w:rsid w:val="00064EAF"/>
    <w:rsid w:val="00065909"/>
    <w:rsid w:val="000671CA"/>
    <w:rsid w:val="0007461E"/>
    <w:rsid w:val="0007537E"/>
    <w:rsid w:val="00075395"/>
    <w:rsid w:val="00077CD3"/>
    <w:rsid w:val="000807F8"/>
    <w:rsid w:val="00082F72"/>
    <w:rsid w:val="00086883"/>
    <w:rsid w:val="00090170"/>
    <w:rsid w:val="00095521"/>
    <w:rsid w:val="00097328"/>
    <w:rsid w:val="00097F19"/>
    <w:rsid w:val="000A0D58"/>
    <w:rsid w:val="000A3C18"/>
    <w:rsid w:val="000B12BD"/>
    <w:rsid w:val="000C5865"/>
    <w:rsid w:val="000D00A9"/>
    <w:rsid w:val="000D0CB9"/>
    <w:rsid w:val="001062CA"/>
    <w:rsid w:val="00111103"/>
    <w:rsid w:val="00113CD7"/>
    <w:rsid w:val="001144BD"/>
    <w:rsid w:val="00126E2D"/>
    <w:rsid w:val="001422BF"/>
    <w:rsid w:val="001448EC"/>
    <w:rsid w:val="0017353F"/>
    <w:rsid w:val="001878A5"/>
    <w:rsid w:val="001A3F25"/>
    <w:rsid w:val="001B50E1"/>
    <w:rsid w:val="001C1B9A"/>
    <w:rsid w:val="001C7CB0"/>
    <w:rsid w:val="001D16FD"/>
    <w:rsid w:val="001E6F39"/>
    <w:rsid w:val="001F16F9"/>
    <w:rsid w:val="001F7962"/>
    <w:rsid w:val="00237846"/>
    <w:rsid w:val="00243ABC"/>
    <w:rsid w:val="00244735"/>
    <w:rsid w:val="00251695"/>
    <w:rsid w:val="00256082"/>
    <w:rsid w:val="00257BE1"/>
    <w:rsid w:val="002636D1"/>
    <w:rsid w:val="00274153"/>
    <w:rsid w:val="00282D85"/>
    <w:rsid w:val="0028654E"/>
    <w:rsid w:val="0029263C"/>
    <w:rsid w:val="002A5930"/>
    <w:rsid w:val="002B6208"/>
    <w:rsid w:val="002C7851"/>
    <w:rsid w:val="002D156D"/>
    <w:rsid w:val="002E09CA"/>
    <w:rsid w:val="002E39A3"/>
    <w:rsid w:val="002F28BC"/>
    <w:rsid w:val="002F2FCF"/>
    <w:rsid w:val="003058EE"/>
    <w:rsid w:val="00306C3B"/>
    <w:rsid w:val="00314E5B"/>
    <w:rsid w:val="0031539F"/>
    <w:rsid w:val="00325C59"/>
    <w:rsid w:val="00343C05"/>
    <w:rsid w:val="00347BE6"/>
    <w:rsid w:val="003536FF"/>
    <w:rsid w:val="00363984"/>
    <w:rsid w:val="003732FF"/>
    <w:rsid w:val="003871EC"/>
    <w:rsid w:val="003879A7"/>
    <w:rsid w:val="0039285C"/>
    <w:rsid w:val="003A07A4"/>
    <w:rsid w:val="003A08B5"/>
    <w:rsid w:val="003B5CF3"/>
    <w:rsid w:val="003B6F6E"/>
    <w:rsid w:val="003C789F"/>
    <w:rsid w:val="003D03F5"/>
    <w:rsid w:val="003D5412"/>
    <w:rsid w:val="003D59DD"/>
    <w:rsid w:val="003E35DE"/>
    <w:rsid w:val="003E625D"/>
    <w:rsid w:val="00403ACA"/>
    <w:rsid w:val="00404843"/>
    <w:rsid w:val="00415FA3"/>
    <w:rsid w:val="00420F6B"/>
    <w:rsid w:val="00437642"/>
    <w:rsid w:val="0045597D"/>
    <w:rsid w:val="004711C8"/>
    <w:rsid w:val="004803E2"/>
    <w:rsid w:val="00484830"/>
    <w:rsid w:val="0048675C"/>
    <w:rsid w:val="0049262A"/>
    <w:rsid w:val="004A1BF3"/>
    <w:rsid w:val="004A7053"/>
    <w:rsid w:val="004D2347"/>
    <w:rsid w:val="0050242D"/>
    <w:rsid w:val="0050787F"/>
    <w:rsid w:val="00510469"/>
    <w:rsid w:val="005111A8"/>
    <w:rsid w:val="0051138A"/>
    <w:rsid w:val="005301C6"/>
    <w:rsid w:val="00537A86"/>
    <w:rsid w:val="00537EA3"/>
    <w:rsid w:val="005457DD"/>
    <w:rsid w:val="0055374E"/>
    <w:rsid w:val="0055602D"/>
    <w:rsid w:val="005660F8"/>
    <w:rsid w:val="005673ED"/>
    <w:rsid w:val="005770D2"/>
    <w:rsid w:val="00581C9C"/>
    <w:rsid w:val="0058383A"/>
    <w:rsid w:val="00585C7C"/>
    <w:rsid w:val="005950F4"/>
    <w:rsid w:val="005A14C8"/>
    <w:rsid w:val="005A2D10"/>
    <w:rsid w:val="005D078B"/>
    <w:rsid w:val="005D36CE"/>
    <w:rsid w:val="005E05EB"/>
    <w:rsid w:val="005E1A59"/>
    <w:rsid w:val="005E2A1B"/>
    <w:rsid w:val="005E74F1"/>
    <w:rsid w:val="005F13F1"/>
    <w:rsid w:val="005F2D49"/>
    <w:rsid w:val="005F35D1"/>
    <w:rsid w:val="005F7C69"/>
    <w:rsid w:val="00605BBF"/>
    <w:rsid w:val="00616EE5"/>
    <w:rsid w:val="0061753E"/>
    <w:rsid w:val="00623EA4"/>
    <w:rsid w:val="00625A41"/>
    <w:rsid w:val="006273DC"/>
    <w:rsid w:val="006334B5"/>
    <w:rsid w:val="00641861"/>
    <w:rsid w:val="0064467A"/>
    <w:rsid w:val="00646FC3"/>
    <w:rsid w:val="00651ADE"/>
    <w:rsid w:val="00652655"/>
    <w:rsid w:val="00652A1F"/>
    <w:rsid w:val="0066307E"/>
    <w:rsid w:val="006708C6"/>
    <w:rsid w:val="00674B38"/>
    <w:rsid w:val="006A1999"/>
    <w:rsid w:val="006A4452"/>
    <w:rsid w:val="006B18D8"/>
    <w:rsid w:val="006B5A68"/>
    <w:rsid w:val="006C0380"/>
    <w:rsid w:val="006C4695"/>
    <w:rsid w:val="006D703C"/>
    <w:rsid w:val="006E6AF4"/>
    <w:rsid w:val="007032C3"/>
    <w:rsid w:val="00707C0C"/>
    <w:rsid w:val="00710218"/>
    <w:rsid w:val="007216B8"/>
    <w:rsid w:val="00736563"/>
    <w:rsid w:val="007442EF"/>
    <w:rsid w:val="007527D0"/>
    <w:rsid w:val="007708B7"/>
    <w:rsid w:val="007A4CDC"/>
    <w:rsid w:val="007B126D"/>
    <w:rsid w:val="007B4824"/>
    <w:rsid w:val="007B4A53"/>
    <w:rsid w:val="007D0391"/>
    <w:rsid w:val="007D3374"/>
    <w:rsid w:val="007D5E18"/>
    <w:rsid w:val="007E1539"/>
    <w:rsid w:val="007F71FC"/>
    <w:rsid w:val="008037DA"/>
    <w:rsid w:val="00804509"/>
    <w:rsid w:val="00805A61"/>
    <w:rsid w:val="0081119A"/>
    <w:rsid w:val="00816718"/>
    <w:rsid w:val="00816FEC"/>
    <w:rsid w:val="008324D6"/>
    <w:rsid w:val="00847AAA"/>
    <w:rsid w:val="00865EC5"/>
    <w:rsid w:val="008666B9"/>
    <w:rsid w:val="00872942"/>
    <w:rsid w:val="008740FE"/>
    <w:rsid w:val="008765BC"/>
    <w:rsid w:val="0088082F"/>
    <w:rsid w:val="008934FD"/>
    <w:rsid w:val="00897B79"/>
    <w:rsid w:val="008A4FCD"/>
    <w:rsid w:val="008C13AC"/>
    <w:rsid w:val="008C6306"/>
    <w:rsid w:val="008E0C8D"/>
    <w:rsid w:val="008F55FB"/>
    <w:rsid w:val="008F6B14"/>
    <w:rsid w:val="008F7E12"/>
    <w:rsid w:val="009042F5"/>
    <w:rsid w:val="00910B0A"/>
    <w:rsid w:val="00917861"/>
    <w:rsid w:val="00917F7C"/>
    <w:rsid w:val="00921CA2"/>
    <w:rsid w:val="00924936"/>
    <w:rsid w:val="0092695E"/>
    <w:rsid w:val="009556EA"/>
    <w:rsid w:val="00960354"/>
    <w:rsid w:val="00960E83"/>
    <w:rsid w:val="00965315"/>
    <w:rsid w:val="00971847"/>
    <w:rsid w:val="00973F22"/>
    <w:rsid w:val="00984EB8"/>
    <w:rsid w:val="009A2A8E"/>
    <w:rsid w:val="009C010C"/>
    <w:rsid w:val="009C0170"/>
    <w:rsid w:val="009C1E8E"/>
    <w:rsid w:val="009D742E"/>
    <w:rsid w:val="009D799D"/>
    <w:rsid w:val="009E0027"/>
    <w:rsid w:val="009E1835"/>
    <w:rsid w:val="009E1C49"/>
    <w:rsid w:val="009E55A3"/>
    <w:rsid w:val="009F3D47"/>
    <w:rsid w:val="00A0086F"/>
    <w:rsid w:val="00A1510B"/>
    <w:rsid w:val="00A16C0D"/>
    <w:rsid w:val="00A16FC2"/>
    <w:rsid w:val="00A25F59"/>
    <w:rsid w:val="00A27AF4"/>
    <w:rsid w:val="00A50B7D"/>
    <w:rsid w:val="00A53F5D"/>
    <w:rsid w:val="00A5732D"/>
    <w:rsid w:val="00A77E07"/>
    <w:rsid w:val="00A828B2"/>
    <w:rsid w:val="00A83E8F"/>
    <w:rsid w:val="00A9064B"/>
    <w:rsid w:val="00A90CF2"/>
    <w:rsid w:val="00A93C80"/>
    <w:rsid w:val="00A94147"/>
    <w:rsid w:val="00A96727"/>
    <w:rsid w:val="00AA38DA"/>
    <w:rsid w:val="00AB1CC0"/>
    <w:rsid w:val="00AB7157"/>
    <w:rsid w:val="00AE0594"/>
    <w:rsid w:val="00B01136"/>
    <w:rsid w:val="00B04EBE"/>
    <w:rsid w:val="00B0508F"/>
    <w:rsid w:val="00B103CC"/>
    <w:rsid w:val="00B10E67"/>
    <w:rsid w:val="00B30BEE"/>
    <w:rsid w:val="00B60DC8"/>
    <w:rsid w:val="00B6144D"/>
    <w:rsid w:val="00B71E98"/>
    <w:rsid w:val="00B72628"/>
    <w:rsid w:val="00B77C55"/>
    <w:rsid w:val="00B833C4"/>
    <w:rsid w:val="00B83E08"/>
    <w:rsid w:val="00B965C8"/>
    <w:rsid w:val="00B9730F"/>
    <w:rsid w:val="00B97C5F"/>
    <w:rsid w:val="00BA52BF"/>
    <w:rsid w:val="00BA7D40"/>
    <w:rsid w:val="00BB3620"/>
    <w:rsid w:val="00BD0167"/>
    <w:rsid w:val="00BD0704"/>
    <w:rsid w:val="00BF55E8"/>
    <w:rsid w:val="00BF6254"/>
    <w:rsid w:val="00C0006B"/>
    <w:rsid w:val="00C00977"/>
    <w:rsid w:val="00C14195"/>
    <w:rsid w:val="00C14F6F"/>
    <w:rsid w:val="00C253EA"/>
    <w:rsid w:val="00C30497"/>
    <w:rsid w:val="00C3368B"/>
    <w:rsid w:val="00C3495A"/>
    <w:rsid w:val="00C4030D"/>
    <w:rsid w:val="00C47E31"/>
    <w:rsid w:val="00C50DF1"/>
    <w:rsid w:val="00C52721"/>
    <w:rsid w:val="00C5608F"/>
    <w:rsid w:val="00C67FC0"/>
    <w:rsid w:val="00C7196F"/>
    <w:rsid w:val="00C758D3"/>
    <w:rsid w:val="00C80CE7"/>
    <w:rsid w:val="00C968A3"/>
    <w:rsid w:val="00CA2E2E"/>
    <w:rsid w:val="00CC0D43"/>
    <w:rsid w:val="00CC30DA"/>
    <w:rsid w:val="00CC4E1C"/>
    <w:rsid w:val="00CE3D74"/>
    <w:rsid w:val="00CE45E9"/>
    <w:rsid w:val="00CE60CE"/>
    <w:rsid w:val="00CF1B1A"/>
    <w:rsid w:val="00D1160A"/>
    <w:rsid w:val="00D238F8"/>
    <w:rsid w:val="00D24CF8"/>
    <w:rsid w:val="00D33B3F"/>
    <w:rsid w:val="00D46B7D"/>
    <w:rsid w:val="00D47DB6"/>
    <w:rsid w:val="00D47F4C"/>
    <w:rsid w:val="00D5232B"/>
    <w:rsid w:val="00D62066"/>
    <w:rsid w:val="00D62E73"/>
    <w:rsid w:val="00D64D3A"/>
    <w:rsid w:val="00D70DE3"/>
    <w:rsid w:val="00D7750D"/>
    <w:rsid w:val="00D84451"/>
    <w:rsid w:val="00D8762B"/>
    <w:rsid w:val="00D91C03"/>
    <w:rsid w:val="00D93F54"/>
    <w:rsid w:val="00D9426F"/>
    <w:rsid w:val="00D963EA"/>
    <w:rsid w:val="00D96F6C"/>
    <w:rsid w:val="00DA2DC1"/>
    <w:rsid w:val="00DB072B"/>
    <w:rsid w:val="00DB712C"/>
    <w:rsid w:val="00DC0B58"/>
    <w:rsid w:val="00DE502E"/>
    <w:rsid w:val="00E037A5"/>
    <w:rsid w:val="00E11078"/>
    <w:rsid w:val="00E2162F"/>
    <w:rsid w:val="00E225B8"/>
    <w:rsid w:val="00E22823"/>
    <w:rsid w:val="00E43779"/>
    <w:rsid w:val="00E519AD"/>
    <w:rsid w:val="00E627D3"/>
    <w:rsid w:val="00E67A0F"/>
    <w:rsid w:val="00E85CCA"/>
    <w:rsid w:val="00EA1726"/>
    <w:rsid w:val="00EA342C"/>
    <w:rsid w:val="00ED640A"/>
    <w:rsid w:val="00F008EF"/>
    <w:rsid w:val="00F01CAD"/>
    <w:rsid w:val="00F034B5"/>
    <w:rsid w:val="00F05099"/>
    <w:rsid w:val="00F070E0"/>
    <w:rsid w:val="00F220C7"/>
    <w:rsid w:val="00F36F7A"/>
    <w:rsid w:val="00F54851"/>
    <w:rsid w:val="00F72C09"/>
    <w:rsid w:val="00F862EB"/>
    <w:rsid w:val="00F930CC"/>
    <w:rsid w:val="00FA038A"/>
    <w:rsid w:val="00FA062C"/>
    <w:rsid w:val="00FA6689"/>
    <w:rsid w:val="00FB1D0C"/>
    <w:rsid w:val="00FB3A32"/>
    <w:rsid w:val="00FB5E50"/>
    <w:rsid w:val="00FB7C4F"/>
    <w:rsid w:val="00FC16BE"/>
    <w:rsid w:val="00FC4D8F"/>
    <w:rsid w:val="00FD0DB0"/>
    <w:rsid w:val="00FD46B2"/>
    <w:rsid w:val="00FD7D19"/>
    <w:rsid w:val="00FE2798"/>
    <w:rsid w:val="00FF1BAF"/>
    <w:rsid w:val="00FF1F03"/>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MS Minngs" w:hAnsi="Tahoma" w:cs="Verdana"/>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BF3"/>
    <w:rPr>
      <w:color w:val="262626"/>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E35D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3E35DE"/>
    <w:rPr>
      <w:rFonts w:cs="Times New Roman"/>
      <w:color w:val="0000FF"/>
      <w:u w:val="single"/>
    </w:rPr>
  </w:style>
  <w:style w:type="character" w:styleId="FollowedHyperlink">
    <w:name w:val="FollowedHyperlink"/>
    <w:basedOn w:val="DefaultParagraphFont"/>
    <w:uiPriority w:val="99"/>
    <w:semiHidden/>
    <w:rsid w:val="00623EA4"/>
    <w:rPr>
      <w:rFonts w:cs="Times New Roman"/>
      <w:color w:val="800080"/>
      <w:u w:val="single"/>
    </w:rPr>
  </w:style>
  <w:style w:type="paragraph" w:styleId="ListParagraph">
    <w:name w:val="List Paragraph"/>
    <w:basedOn w:val="Normal"/>
    <w:uiPriority w:val="99"/>
    <w:qFormat/>
    <w:rsid w:val="009F3D47"/>
    <w:pPr>
      <w:ind w:left="720"/>
      <w:contextualSpacing/>
    </w:pPr>
  </w:style>
  <w:style w:type="paragraph" w:styleId="BalloonText">
    <w:name w:val="Balloon Text"/>
    <w:basedOn w:val="Normal"/>
    <w:link w:val="BalloonTextChar"/>
    <w:uiPriority w:val="99"/>
    <w:semiHidden/>
    <w:rsid w:val="00243AB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243ABC"/>
    <w:rPr>
      <w:rFonts w:ascii="Lucida Grande" w:hAnsi="Lucida Grande" w:cs="Lucida Grande"/>
      <w:sz w:val="18"/>
      <w:szCs w:val="18"/>
    </w:rPr>
  </w:style>
  <w:style w:type="paragraph" w:customStyle="1" w:styleId="Body1">
    <w:name w:val="Body 1"/>
    <w:uiPriority w:val="99"/>
    <w:rsid w:val="00E11078"/>
    <w:pPr>
      <w:outlineLvl w:val="0"/>
    </w:pPr>
    <w:rPr>
      <w:rFonts w:ascii="Times New Roman" w:eastAsia="Arial Unicode MS" w:hAnsi="Times New Roman" w:cs="Times New Roman"/>
      <w:color w:val="000000"/>
      <w:sz w:val="24"/>
      <w:szCs w:val="20"/>
      <w:u w:color="000000"/>
    </w:rPr>
  </w:style>
  <w:style w:type="paragraph" w:styleId="NormalWeb">
    <w:name w:val="Normal (Web)"/>
    <w:basedOn w:val="Normal"/>
    <w:uiPriority w:val="99"/>
    <w:semiHidden/>
    <w:rsid w:val="001F16F9"/>
    <w:pPr>
      <w:spacing w:before="100" w:beforeAutospacing="1" w:after="100" w:afterAutospacing="1"/>
    </w:pPr>
    <w:rPr>
      <w:rFonts w:ascii="Times New Roman" w:hAnsi="Times New Roman" w:cs="Times New Roman"/>
      <w:color w:val="auto"/>
      <w:sz w:val="24"/>
      <w:szCs w:val="24"/>
    </w:rPr>
  </w:style>
  <w:style w:type="paragraph" w:customStyle="1" w:styleId="BodyCopy">
    <w:name w:val="Body Copy"/>
    <w:basedOn w:val="Normal"/>
    <w:link w:val="BodyCopyChar"/>
    <w:uiPriority w:val="99"/>
    <w:rsid w:val="000173F0"/>
    <w:pPr>
      <w:spacing w:after="200" w:line="276" w:lineRule="auto"/>
    </w:pPr>
    <w:rPr>
      <w:rFonts w:ascii="Calibri" w:hAnsi="Calibri" w:cs="Times New Roman"/>
      <w:color w:val="404040"/>
      <w:sz w:val="20"/>
      <w:szCs w:val="20"/>
      <w:lang w:val="en-GB" w:eastAsia="en-GB"/>
    </w:rPr>
  </w:style>
  <w:style w:type="character" w:customStyle="1" w:styleId="BodyCopyChar">
    <w:name w:val="Body Copy Char"/>
    <w:link w:val="BodyCopy"/>
    <w:uiPriority w:val="99"/>
    <w:locked/>
    <w:rsid w:val="000173F0"/>
    <w:rPr>
      <w:rFonts w:ascii="Calibri" w:eastAsia="Times New Roman" w:hAnsi="Calibri"/>
      <w:color w:val="404040"/>
      <w:sz w:val="20"/>
      <w:lang w:val="en-GB" w:eastAsia="en-GB"/>
    </w:rPr>
  </w:style>
  <w:style w:type="paragraph" w:styleId="NoSpacing">
    <w:name w:val="No Spacing"/>
    <w:link w:val="NoSpacingChar"/>
    <w:uiPriority w:val="99"/>
    <w:qFormat/>
    <w:rsid w:val="000173F0"/>
    <w:rPr>
      <w:rFonts w:ascii="Calibri" w:hAnsi="Calibri" w:cs="Times New Roman"/>
      <w:lang w:eastAsia="en-US"/>
    </w:rPr>
  </w:style>
  <w:style w:type="character" w:customStyle="1" w:styleId="NoSpacingChar">
    <w:name w:val="No Spacing Char"/>
    <w:link w:val="NoSpacing"/>
    <w:uiPriority w:val="99"/>
    <w:locked/>
    <w:rsid w:val="000173F0"/>
    <w:rPr>
      <w:rFonts w:ascii="Calibri" w:eastAsia="Times New Roman" w:hAnsi="Calibri"/>
      <w:sz w:val="22"/>
      <w:lang w:val="en-GB" w:eastAsia="en-US"/>
    </w:rPr>
  </w:style>
  <w:style w:type="character" w:styleId="CommentReference">
    <w:name w:val="annotation reference"/>
    <w:basedOn w:val="DefaultParagraphFont"/>
    <w:uiPriority w:val="99"/>
    <w:semiHidden/>
    <w:rsid w:val="0050242D"/>
    <w:rPr>
      <w:rFonts w:cs="Times New Roman"/>
      <w:sz w:val="16"/>
      <w:szCs w:val="16"/>
    </w:rPr>
  </w:style>
  <w:style w:type="paragraph" w:styleId="CommentText">
    <w:name w:val="annotation text"/>
    <w:basedOn w:val="Normal"/>
    <w:link w:val="CommentTextChar"/>
    <w:uiPriority w:val="99"/>
    <w:semiHidden/>
    <w:rsid w:val="0050242D"/>
    <w:rPr>
      <w:sz w:val="20"/>
      <w:szCs w:val="20"/>
    </w:rPr>
  </w:style>
  <w:style w:type="character" w:customStyle="1" w:styleId="CommentTextChar">
    <w:name w:val="Comment Text Char"/>
    <w:basedOn w:val="DefaultParagraphFont"/>
    <w:link w:val="CommentText"/>
    <w:uiPriority w:val="99"/>
    <w:semiHidden/>
    <w:locked/>
    <w:rsid w:val="0050242D"/>
    <w:rPr>
      <w:rFonts w:cs="Times New Roman"/>
      <w:sz w:val="20"/>
      <w:szCs w:val="20"/>
    </w:rPr>
  </w:style>
</w:styles>
</file>

<file path=word/webSettings.xml><?xml version="1.0" encoding="utf-8"?>
<w:webSettings xmlns:r="http://schemas.openxmlformats.org/officeDocument/2006/relationships" xmlns:w="http://schemas.openxmlformats.org/wordprocessingml/2006/main">
  <w:divs>
    <w:div w:id="1792479874">
      <w:marLeft w:val="0"/>
      <w:marRight w:val="0"/>
      <w:marTop w:val="0"/>
      <w:marBottom w:val="0"/>
      <w:divBdr>
        <w:top w:val="none" w:sz="0" w:space="0" w:color="auto"/>
        <w:left w:val="none" w:sz="0" w:space="0" w:color="auto"/>
        <w:bottom w:val="none" w:sz="0" w:space="0" w:color="auto"/>
        <w:right w:val="none" w:sz="0" w:space="0" w:color="auto"/>
      </w:divBdr>
    </w:div>
    <w:div w:id="1792479875">
      <w:marLeft w:val="0"/>
      <w:marRight w:val="0"/>
      <w:marTop w:val="0"/>
      <w:marBottom w:val="0"/>
      <w:divBdr>
        <w:top w:val="none" w:sz="0" w:space="0" w:color="auto"/>
        <w:left w:val="none" w:sz="0" w:space="0" w:color="auto"/>
        <w:bottom w:val="none" w:sz="0" w:space="0" w:color="auto"/>
        <w:right w:val="none" w:sz="0" w:space="0" w:color="auto"/>
      </w:divBdr>
    </w:div>
    <w:div w:id="1792479876">
      <w:marLeft w:val="0"/>
      <w:marRight w:val="0"/>
      <w:marTop w:val="0"/>
      <w:marBottom w:val="0"/>
      <w:divBdr>
        <w:top w:val="none" w:sz="0" w:space="0" w:color="auto"/>
        <w:left w:val="none" w:sz="0" w:space="0" w:color="auto"/>
        <w:bottom w:val="none" w:sz="0" w:space="0" w:color="auto"/>
        <w:right w:val="none" w:sz="0" w:space="0" w:color="auto"/>
      </w:divBdr>
    </w:div>
    <w:div w:id="1792479878">
      <w:marLeft w:val="0"/>
      <w:marRight w:val="0"/>
      <w:marTop w:val="0"/>
      <w:marBottom w:val="0"/>
      <w:divBdr>
        <w:top w:val="none" w:sz="0" w:space="0" w:color="auto"/>
        <w:left w:val="none" w:sz="0" w:space="0" w:color="auto"/>
        <w:bottom w:val="none" w:sz="0" w:space="0" w:color="auto"/>
        <w:right w:val="none" w:sz="0" w:space="0" w:color="auto"/>
      </w:divBdr>
    </w:div>
    <w:div w:id="1792479880">
      <w:marLeft w:val="0"/>
      <w:marRight w:val="0"/>
      <w:marTop w:val="0"/>
      <w:marBottom w:val="0"/>
      <w:divBdr>
        <w:top w:val="none" w:sz="0" w:space="0" w:color="auto"/>
        <w:left w:val="none" w:sz="0" w:space="0" w:color="auto"/>
        <w:bottom w:val="none" w:sz="0" w:space="0" w:color="auto"/>
        <w:right w:val="none" w:sz="0" w:space="0" w:color="auto"/>
      </w:divBdr>
      <w:divsChild>
        <w:div w:id="1792479877">
          <w:marLeft w:val="0"/>
          <w:marRight w:val="0"/>
          <w:marTop w:val="0"/>
          <w:marBottom w:val="240"/>
          <w:divBdr>
            <w:top w:val="single" w:sz="6" w:space="8" w:color="EBEBDF"/>
            <w:left w:val="none" w:sz="0" w:space="8" w:color="auto"/>
            <w:bottom w:val="single" w:sz="6" w:space="8" w:color="EBEBDF"/>
            <w:right w:val="none" w:sz="0" w:space="8" w:color="auto"/>
          </w:divBdr>
        </w:div>
        <w:div w:id="1792479879">
          <w:marLeft w:val="0"/>
          <w:marRight w:val="0"/>
          <w:marTop w:val="0"/>
          <w:marBottom w:val="0"/>
          <w:divBdr>
            <w:top w:val="none" w:sz="0" w:space="0" w:color="auto"/>
            <w:left w:val="none" w:sz="0" w:space="0" w:color="auto"/>
            <w:bottom w:val="none" w:sz="0" w:space="0" w:color="auto"/>
            <w:right w:val="none" w:sz="0" w:space="0" w:color="auto"/>
          </w:divBdr>
        </w:div>
      </w:divsChild>
    </w:div>
    <w:div w:id="1792479881">
      <w:marLeft w:val="0"/>
      <w:marRight w:val="0"/>
      <w:marTop w:val="0"/>
      <w:marBottom w:val="0"/>
      <w:divBdr>
        <w:top w:val="none" w:sz="0" w:space="0" w:color="auto"/>
        <w:left w:val="none" w:sz="0" w:space="0" w:color="auto"/>
        <w:bottom w:val="none" w:sz="0" w:space="0" w:color="auto"/>
        <w:right w:val="none" w:sz="0" w:space="0" w:color="auto"/>
      </w:divBdr>
    </w:div>
    <w:div w:id="1792479882">
      <w:marLeft w:val="0"/>
      <w:marRight w:val="0"/>
      <w:marTop w:val="0"/>
      <w:marBottom w:val="0"/>
      <w:divBdr>
        <w:top w:val="none" w:sz="0" w:space="0" w:color="auto"/>
        <w:left w:val="none" w:sz="0" w:space="0" w:color="auto"/>
        <w:bottom w:val="none" w:sz="0" w:space="0" w:color="auto"/>
        <w:right w:val="none" w:sz="0" w:space="0" w:color="auto"/>
      </w:divBdr>
    </w:div>
    <w:div w:id="1792479883">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seymour@wslaw.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tt@coastcommunications.co.uk" TargetMode="External"/><Relationship Id="rId5" Type="http://schemas.openxmlformats.org/officeDocument/2006/relationships/hyperlink" Target="mailto:matt@coastcommunications.co.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608</Words>
  <Characters>3466</Characters>
  <Application>Microsoft Office Outlook</Application>
  <DocSecurity>0</DocSecurity>
  <Lines>0</Lines>
  <Paragraphs>0</Paragraphs>
  <ScaleCrop>false</ScaleCrop>
  <Company>Golding Housing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Client: Winckworth Sherwood</dc:title>
  <dc:subject/>
  <dc:creator>Ian Priston</dc:creator>
  <cp:keywords/>
  <dc:description/>
  <cp:lastModifiedBy>jerome.billeter</cp:lastModifiedBy>
  <cp:revision>2</cp:revision>
  <cp:lastPrinted>2016-10-05T14:34:00Z</cp:lastPrinted>
  <dcterms:created xsi:type="dcterms:W3CDTF">2017-03-07T11:30:00Z</dcterms:created>
  <dcterms:modified xsi:type="dcterms:W3CDTF">2017-03-07T11:30:00Z</dcterms:modified>
</cp:coreProperties>
</file>